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LEGE   Nr. 265 din 15 mai 2002</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acceptarea amendamentelor la </w:t>
      </w:r>
      <w:r>
        <w:rPr>
          <w:rFonts w:ascii="Times New Roman" w:hAnsi="Times New Roman" w:cs="Times New Roman"/>
          <w:color w:val="008000"/>
          <w:sz w:val="28"/>
          <w:szCs w:val="28"/>
          <w:u w:val="single"/>
        </w:rPr>
        <w:t>Convenţia de la Basel</w:t>
      </w:r>
      <w:r>
        <w:rPr>
          <w:rFonts w:ascii="Times New Roman" w:hAnsi="Times New Roman" w:cs="Times New Roman"/>
          <w:sz w:val="28"/>
          <w:szCs w:val="28"/>
        </w:rPr>
        <w:t xml:space="preserve"> (1989) privind controlul transportului peste frontiere al deşeurilor periculoase şi al eliminării acestora</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PARLAMENTUL</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352 din 27 mai 2002</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Parlamentul României adoptă prezenta lege.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acceptă Amendamentul la </w:t>
      </w:r>
      <w:r>
        <w:rPr>
          <w:rFonts w:ascii="Times New Roman" w:hAnsi="Times New Roman" w:cs="Times New Roman"/>
          <w:color w:val="008000"/>
          <w:sz w:val="28"/>
          <w:szCs w:val="28"/>
          <w:u w:val="single"/>
        </w:rPr>
        <w:t>Convenţia de la Basel</w:t>
      </w:r>
      <w:r>
        <w:rPr>
          <w:rFonts w:ascii="Times New Roman" w:hAnsi="Times New Roman" w:cs="Times New Roman"/>
          <w:sz w:val="28"/>
          <w:szCs w:val="28"/>
        </w:rPr>
        <w:t xml:space="preserve"> (1989) privind controlul transportului peste frontiere al deşeurilor periculoase şi al eliminării acestora, adoptat prin Decizia III/1 la cea de-a 3-a Reuniune a Conferinţei părţilor </w:t>
      </w:r>
      <w:r>
        <w:rPr>
          <w:rFonts w:ascii="Times New Roman" w:hAnsi="Times New Roman" w:cs="Times New Roman"/>
          <w:color w:val="008000"/>
          <w:sz w:val="28"/>
          <w:szCs w:val="28"/>
          <w:u w:val="single"/>
        </w:rPr>
        <w:t>Convenţiei de la Basel</w:t>
      </w:r>
      <w:r>
        <w:rPr>
          <w:rFonts w:ascii="Times New Roman" w:hAnsi="Times New Roman" w:cs="Times New Roman"/>
          <w:sz w:val="28"/>
          <w:szCs w:val="28"/>
        </w:rPr>
        <w:t>, care a avut loc la Geneva între 18 - 22 septembrie 1995.</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acceptă Amendamentul şi </w:t>
      </w:r>
      <w:r>
        <w:rPr>
          <w:rFonts w:ascii="Times New Roman" w:hAnsi="Times New Roman" w:cs="Times New Roman"/>
          <w:color w:val="008000"/>
          <w:sz w:val="28"/>
          <w:szCs w:val="28"/>
          <w:u w:val="single"/>
        </w:rPr>
        <w:t>anexele VIII</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IX</w:t>
      </w: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Convenţia de la Basel</w:t>
      </w:r>
      <w:r>
        <w:rPr>
          <w:rFonts w:ascii="Times New Roman" w:hAnsi="Times New Roman" w:cs="Times New Roman"/>
          <w:sz w:val="28"/>
          <w:szCs w:val="28"/>
        </w:rPr>
        <w:t xml:space="preserve"> (1989) privind controlul transportului peste frontiere al deşeurilor periculoase şi al eliminării acestora, adoptate prin Decizia IV/9 la cea de-a 4-a Reuniune a Conferinţei părţilor </w:t>
      </w:r>
      <w:r>
        <w:rPr>
          <w:rFonts w:ascii="Times New Roman" w:hAnsi="Times New Roman" w:cs="Times New Roman"/>
          <w:color w:val="008000"/>
          <w:sz w:val="28"/>
          <w:szCs w:val="28"/>
          <w:u w:val="single"/>
        </w:rPr>
        <w:t>Convenţiei de la Basel</w:t>
      </w:r>
      <w:r>
        <w:rPr>
          <w:rFonts w:ascii="Times New Roman" w:hAnsi="Times New Roman" w:cs="Times New Roman"/>
          <w:sz w:val="28"/>
          <w:szCs w:val="28"/>
        </w:rPr>
        <w:t>, care a avut loc la Kuching, Malaysia, între 23 - 27 februarie 1998.</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lege a fost adoptată de Camera Deputaţilor în şedinţa din 25 martie 2002, cu respectarea prevederilor </w:t>
      </w:r>
      <w:r>
        <w:rPr>
          <w:rFonts w:ascii="Times New Roman" w:hAnsi="Times New Roman" w:cs="Times New Roman"/>
          <w:color w:val="008000"/>
          <w:sz w:val="28"/>
          <w:szCs w:val="28"/>
          <w:u w:val="single"/>
        </w:rPr>
        <w:t>art. 74</w:t>
      </w:r>
      <w:r>
        <w:rPr>
          <w:rFonts w:ascii="Times New Roman" w:hAnsi="Times New Roman" w:cs="Times New Roman"/>
          <w:sz w:val="28"/>
          <w:szCs w:val="28"/>
        </w:rPr>
        <w:t xml:space="preserve"> alin. (2) din Constituţia României.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CAMEREI DEPUTAŢILOR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VALER DORNEANU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lege a fost adoptată de Senat în şedinţa din 15 aprilie 2002, cu respectarea prevederilor </w:t>
      </w:r>
      <w:r>
        <w:rPr>
          <w:rFonts w:ascii="Times New Roman" w:hAnsi="Times New Roman" w:cs="Times New Roman"/>
          <w:color w:val="008000"/>
          <w:sz w:val="28"/>
          <w:szCs w:val="28"/>
          <w:u w:val="single"/>
        </w:rPr>
        <w:t>art. 74</w:t>
      </w:r>
      <w:r>
        <w:rPr>
          <w:rFonts w:ascii="Times New Roman" w:hAnsi="Times New Roman" w:cs="Times New Roman"/>
          <w:sz w:val="28"/>
          <w:szCs w:val="28"/>
        </w:rPr>
        <w:t xml:space="preserve"> alin. (2) din Constituţia României.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PREŞEDINTELE SENATULUI,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ALEXANDRU ATHANASIU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AMENDAMENT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Convenţia de la Basel</w:t>
      </w: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(adoptat prin Decizia III/1 la cea de-a 3-a Reuniune a Conferinţei părţilor </w:t>
      </w:r>
      <w:r>
        <w:rPr>
          <w:rFonts w:ascii="Times New Roman" w:hAnsi="Times New Roman" w:cs="Times New Roman"/>
          <w:color w:val="008000"/>
          <w:sz w:val="28"/>
          <w:szCs w:val="28"/>
          <w:u w:val="single"/>
        </w:rPr>
        <w:t>Convenţiei de la Basel</w:t>
      </w:r>
      <w:r>
        <w:rPr>
          <w:rFonts w:ascii="Times New Roman" w:hAnsi="Times New Roman" w:cs="Times New Roman"/>
          <w:sz w:val="28"/>
          <w:szCs w:val="28"/>
        </w:rPr>
        <w:t>, care a avut loc la Geneva între 18 - 22 septembrie 1995)</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Traducere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Conferinţa părţilor,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reafirmând că la prima Reuniune a Conferinţei părţilor </w:t>
      </w:r>
      <w:r>
        <w:rPr>
          <w:rFonts w:ascii="Times New Roman" w:hAnsi="Times New Roman" w:cs="Times New Roman"/>
          <w:color w:val="008000"/>
          <w:sz w:val="28"/>
          <w:szCs w:val="28"/>
          <w:u w:val="single"/>
        </w:rPr>
        <w:t>Convenţiei de la Basel</w:t>
      </w:r>
      <w:r>
        <w:rPr>
          <w:rFonts w:ascii="Times New Roman" w:hAnsi="Times New Roman" w:cs="Times New Roman"/>
          <w:sz w:val="28"/>
          <w:szCs w:val="28"/>
        </w:rPr>
        <w:t xml:space="preserve"> s-a cerut să se interzică transportul deşeurilor periculoase din ţările industrializate către ţările în curs de dezvoltare,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reafirmând Decizia II/12 a Conferinţei părţilor,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notând că: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Grupul tehnic de lucru este instruit de această conferinţă să îşi continue activitatea referitoare la caracterizarea riscului datorat deşeurilor care sunt subiecte ale </w:t>
      </w:r>
      <w:r>
        <w:rPr>
          <w:rFonts w:ascii="Times New Roman" w:hAnsi="Times New Roman" w:cs="Times New Roman"/>
          <w:color w:val="008000"/>
          <w:sz w:val="28"/>
          <w:szCs w:val="28"/>
          <w:u w:val="single"/>
        </w:rPr>
        <w:t>Convenţiei de la Basel</w:t>
      </w:r>
      <w:r>
        <w:rPr>
          <w:rFonts w:ascii="Times New Roman" w:hAnsi="Times New Roman" w:cs="Times New Roman"/>
          <w:sz w:val="28"/>
          <w:szCs w:val="28"/>
        </w:rPr>
        <w:t xml:space="preserve"> (Decizia III/12);</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Grupul tehnic de lucru şi-a început deja activitatea referitoare la elaborarea listei deşeurilor care sunt periculoase şi a deşeurilor care nu sunt subiecte ale </w:t>
      </w:r>
      <w:r>
        <w:rPr>
          <w:rFonts w:ascii="Times New Roman" w:hAnsi="Times New Roman" w:cs="Times New Roman"/>
          <w:color w:val="008000"/>
          <w:sz w:val="28"/>
          <w:szCs w:val="28"/>
          <w:u w:val="single"/>
        </w:rPr>
        <w:t>Convenţiei de la Basel</w:t>
      </w: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acele liste (documentul UNEP/CHW.3/Inf.4) oferă deja o indicaţie utilă, dar nu sunt complete încă sau pe deplin acceptate;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Grupul tehnic de lucru va elabora ghiduri tehnice pentru a asista orice parte sau stat care are dreptul suveran să încheie acorduri şi aranjamente, inclusiv cele care intră sub incidenţa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din convenţie, privind transportul deşeurilor periculoase peste frontieră: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instruieşte Grupul tehnic de lucru să acorde o prioritate deplină în vederea definitivării activităţii referitoare la caracterizarea riscului şi la elaborarea unor liste şi ghiduri tehnice, în vederea transmiterii acestora pentru aprobare la cea de-a 4-a Reuniune a Conferinţei părţilor;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decide că la a 4-a Reuniune a Conferinţei părţilor aceasta va elabora o decizie referitoare la listă (liste);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decide să adopte următorul amendament la </w:t>
      </w:r>
      <w:r>
        <w:rPr>
          <w:rFonts w:ascii="Times New Roman" w:hAnsi="Times New Roman" w:cs="Times New Roman"/>
          <w:color w:val="008000"/>
          <w:sz w:val="28"/>
          <w:szCs w:val="28"/>
          <w:u w:val="single"/>
        </w:rPr>
        <w:t>Convenţia de la Basel</w:t>
      </w: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introduce paragraful 7 bis în preambul:</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"Recunoscând că transportul peste frontiere al deşeurilor periculoase, în special către ţările în curs de dezvoltare, reprezintă un înalt risc dacă nu constituie o gospodărire ecologică raţională a deşeurilor periculoase, aşa cum cere această convenţie,"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introduce articolul 4 A:</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Fiecare parte inclusă în </w:t>
      </w:r>
      <w:r>
        <w:rPr>
          <w:rFonts w:ascii="Times New Roman" w:hAnsi="Times New Roman" w:cs="Times New Roman"/>
          <w:color w:val="008000"/>
          <w:sz w:val="28"/>
          <w:szCs w:val="28"/>
          <w:u w:val="single"/>
        </w:rPr>
        <w:t>anexa VII</w:t>
      </w:r>
      <w:r>
        <w:rPr>
          <w:rFonts w:ascii="Times New Roman" w:hAnsi="Times New Roman" w:cs="Times New Roman"/>
          <w:sz w:val="28"/>
          <w:szCs w:val="28"/>
        </w:rPr>
        <w:t xml:space="preserve"> va interzice toate transporturile peste frontiere ale deşeurilor periculoase care sunt destinate operaţiunilor prezentate în </w:t>
      </w:r>
      <w:r>
        <w:rPr>
          <w:rFonts w:ascii="Times New Roman" w:hAnsi="Times New Roman" w:cs="Times New Roman"/>
          <w:color w:val="008000"/>
          <w:sz w:val="28"/>
          <w:szCs w:val="28"/>
          <w:u w:val="single"/>
        </w:rPr>
        <w:t>anexa IV</w:t>
      </w:r>
      <w:r>
        <w:rPr>
          <w:rFonts w:ascii="Times New Roman" w:hAnsi="Times New Roman" w:cs="Times New Roman"/>
          <w:sz w:val="28"/>
          <w:szCs w:val="28"/>
        </w:rPr>
        <w:t xml:space="preserve"> secţiunea A către statele care nu sunt incluse în </w:t>
      </w:r>
      <w:r>
        <w:rPr>
          <w:rFonts w:ascii="Times New Roman" w:hAnsi="Times New Roman" w:cs="Times New Roman"/>
          <w:color w:val="008000"/>
          <w:sz w:val="28"/>
          <w:szCs w:val="28"/>
          <w:u w:val="single"/>
        </w:rPr>
        <w:t>anexa VII</w:t>
      </w: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parte inclusă în </w:t>
      </w:r>
      <w:r>
        <w:rPr>
          <w:rFonts w:ascii="Times New Roman" w:hAnsi="Times New Roman" w:cs="Times New Roman"/>
          <w:color w:val="008000"/>
          <w:sz w:val="28"/>
          <w:szCs w:val="28"/>
          <w:u w:val="single"/>
        </w:rPr>
        <w:t>anexa VII</w:t>
      </w:r>
      <w:r>
        <w:rPr>
          <w:rFonts w:ascii="Times New Roman" w:hAnsi="Times New Roman" w:cs="Times New Roman"/>
          <w:sz w:val="28"/>
          <w:szCs w:val="28"/>
        </w:rPr>
        <w:t xml:space="preserve"> va elimina până la data de 31 decembrie 1997 şi va interzice după această dată toate transporturile peste frontiere ale deşeurilor periculoase care intră sub incidenţa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(1) a) din convenţie şi care sunt destinate operaţiunilor prezentate în </w:t>
      </w:r>
      <w:r>
        <w:rPr>
          <w:rFonts w:ascii="Times New Roman" w:hAnsi="Times New Roman" w:cs="Times New Roman"/>
          <w:color w:val="008000"/>
          <w:sz w:val="28"/>
          <w:szCs w:val="28"/>
          <w:u w:val="single"/>
        </w:rPr>
        <w:t>anexa IV</w:t>
      </w:r>
      <w:r>
        <w:rPr>
          <w:rFonts w:ascii="Times New Roman" w:hAnsi="Times New Roman" w:cs="Times New Roman"/>
          <w:sz w:val="28"/>
          <w:szCs w:val="28"/>
        </w:rPr>
        <w:t xml:space="preserve"> secţiunea B către statele care nu </w:t>
      </w:r>
      <w:r>
        <w:rPr>
          <w:rFonts w:ascii="Times New Roman" w:hAnsi="Times New Roman" w:cs="Times New Roman"/>
          <w:sz w:val="28"/>
          <w:szCs w:val="28"/>
        </w:rPr>
        <w:lastRenderedPageBreak/>
        <w:t xml:space="preserve">sunt incluse în </w:t>
      </w:r>
      <w:r>
        <w:rPr>
          <w:rFonts w:ascii="Times New Roman" w:hAnsi="Times New Roman" w:cs="Times New Roman"/>
          <w:color w:val="008000"/>
          <w:sz w:val="28"/>
          <w:szCs w:val="28"/>
          <w:u w:val="single"/>
        </w:rPr>
        <w:t>anexa VII</w:t>
      </w:r>
      <w:r>
        <w:rPr>
          <w:rFonts w:ascii="Times New Roman" w:hAnsi="Times New Roman" w:cs="Times New Roman"/>
          <w:sz w:val="28"/>
          <w:szCs w:val="28"/>
        </w:rPr>
        <w:t>. Un astfel de transport peste frontiere nu va fi interzis, în afară de cazul în care deşeurile în cauză sunt caracterizate ca periculoase în înţelesul convenţiei."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Anexa VII</w:t>
      </w: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şi alte state care sunt membre ale OECD, CE, Liechtenstein."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AMENDAMENTUL ŞI ANEXELE VIII ŞI IX</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Convenţia de la Basel</w:t>
      </w: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(adoptate prin Decizia IV/9 la cea de-a 4-a Reuniune a Conferinţei părţilor </w:t>
      </w:r>
      <w:r>
        <w:rPr>
          <w:rFonts w:ascii="Times New Roman" w:hAnsi="Times New Roman" w:cs="Times New Roman"/>
          <w:color w:val="008000"/>
          <w:sz w:val="28"/>
          <w:szCs w:val="28"/>
          <w:u w:val="single"/>
        </w:rPr>
        <w:t>Convenţiei de la Basel</w:t>
      </w:r>
      <w:r>
        <w:rPr>
          <w:rFonts w:ascii="Times New Roman" w:hAnsi="Times New Roman" w:cs="Times New Roman"/>
          <w:sz w:val="28"/>
          <w:szCs w:val="28"/>
        </w:rPr>
        <w:t>, care a avut loc la Kuching în Malaysia între 23 - 27 februarie 1998)</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Traducere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Conferinţa părţilor,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reafirmând Decizia III/1 a Conferinţei părţilor, care a instruit Grupul tehnic de lucru, printre altele, să acorde prioritate deplină pentru terminarea activităţii referitoare la caracterizarea riscului şi la elaborarea listelor în vederea transmiterii acestora pentru aprobare la cea de-a 4-a Reuniune a Conferinţei părţilor,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reafirmând Decizia III/12 a Conferinţei părţilor, care a instruit Grupul tehnic de lucru, printre altele, să considere căile pentru accelerarea elaborării listelor deşeurilor periculoase şi procedurile aplicabile pentru revizuirea acestora pe baza rezultatelor activităţii Grupului tehnic de lucru şi pentru elaborarea în continuare a listelor deşeurilor care nu sunt sub incidenţa acestei convenţii,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notă de activitatea desfăşurată de Grupul tehnic de lucru şi în particular pentru elaborarea listei deşeurilor care sunt considerate periculoase în baza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paragraful 1 a) [lista A conţinută în nota referitoare la listele consolidate ale deşeurilor şi la procedurile aplicabile pentru revizuirea şi ajustarea acestora (UNEP/CHW.4/3)] şi a listei deşeurilor care nu sunt sub incidenţa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paragraful 1 a) din această convenţie (lista B conţinută în nota referitoare la listele consolidate ale deşeurilor şi la procedurile aplicabile pentru revizuirea şi ajustarea acestora), precum şi de progresele făcute în elaborarea procedurii pentru revizuirea sau ajustarea acestor liste şi a unui formular-tip cerut pentru includerea sau scoaterea deşeurilor de pe aceste liste,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considerând că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anexa III</w:t>
      </w:r>
      <w:r>
        <w:rPr>
          <w:rFonts w:ascii="Times New Roman" w:hAnsi="Times New Roman" w:cs="Times New Roman"/>
          <w:sz w:val="28"/>
          <w:szCs w:val="28"/>
        </w:rPr>
        <w:t xml:space="preserve"> vor constitui elementele pe baza cărora se vor caracteriza deşeurile ca periculoase pentru scopurile acestei convenţii, că listele A şi B elaborate de Grupul tehnic de lucru constituie un mijloc eficient care facilitează implementarea acestei convenţii, inclusiv </w:t>
      </w:r>
      <w:r>
        <w:rPr>
          <w:rFonts w:ascii="Times New Roman" w:hAnsi="Times New Roman" w:cs="Times New Roman"/>
          <w:color w:val="008000"/>
          <w:sz w:val="28"/>
          <w:szCs w:val="28"/>
          <w:u w:val="single"/>
        </w:rPr>
        <w:t>art. 4A</w:t>
      </w:r>
      <w:r>
        <w:rPr>
          <w:rFonts w:ascii="Times New Roman" w:hAnsi="Times New Roman" w:cs="Times New Roman"/>
          <w:sz w:val="28"/>
          <w:szCs w:val="28"/>
        </w:rPr>
        <w:t xml:space="preserve">, de stabilire a </w:t>
      </w:r>
      <w:r>
        <w:rPr>
          <w:rFonts w:ascii="Times New Roman" w:hAnsi="Times New Roman" w:cs="Times New Roman"/>
          <w:sz w:val="28"/>
          <w:szCs w:val="28"/>
        </w:rPr>
        <w:lastRenderedPageBreak/>
        <w:t xml:space="preserve">deşeurilor care sunt şi care nu sunt sub incidenţa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paragraful 1 a) din această convenţie şi că aceste liste ar avea statut egal,</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notând că deşeurile incluse în listele A şi B sunt o elaborare şi clarificare a prevederilor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paragraful 1 a) din această convenţie privind referirea la </w:t>
      </w:r>
      <w:r>
        <w:rPr>
          <w:rFonts w:ascii="Times New Roman" w:hAnsi="Times New Roman" w:cs="Times New Roman"/>
          <w:color w:val="008000"/>
          <w:sz w:val="28"/>
          <w:szCs w:val="28"/>
          <w:u w:val="single"/>
        </w:rPr>
        <w:t>anexele I</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III</w:t>
      </w: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recunoscând că lista A şi lista B nu intenţionează să fie exhaustive,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notă de decizia Comitetului ad-hoc închis-deschis la cea de-a 3-a reuniune a acestuia, prin care s-a propus extinderea de către Conferinţa părţilor a mandatului Grupului tehnic de lucru pentru ca acesta să elaboreze o procedură pentru revizuirea sau ajustarea listelor deşeurilor şi ca la Conferinţa părţilor să se adopte formularul-tip pentru acest scop, aşa cum este stabilit în nota privind listele consolidate ale deşeurilor şi procedurile aplicabile pentru revizuirea şi ajustarea acestora,</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notă că, în baza Deciziei IV/6, Grupul tehnic de lucru este instruit să păstreze listele deşeurilor sub revizuire şi să facă recomandări la Conferinţa părţilor pentru revizuire şi ajustare,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continuare luând notă că, în baza Deciziei IV/6, Grupul tehnic de lucru este instruit să revadă procedura pentru revizuirea sau ajustarea listelor deşeurilor, inclusiv formularul-tip, aşa cum este stabilit în nota privind listele consolidate ale deşeurilor şi procedurile aplicabile pentru revizuirea şi ajustarea acestora, şi să trimită o propunere pentru aprobare la cea de-a 5-a Reuniune a Conferinţei părţilor,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decide să adopte următorul amendament şi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această convenţie: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introduc următoarele paragrafe la sfârşitul </w:t>
      </w:r>
      <w:r>
        <w:rPr>
          <w:rFonts w:ascii="Times New Roman" w:hAnsi="Times New Roman" w:cs="Times New Roman"/>
          <w:color w:val="008000"/>
          <w:sz w:val="28"/>
          <w:szCs w:val="28"/>
          <w:u w:val="single"/>
        </w:rPr>
        <w:t>anexei I</w:t>
      </w: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a uşura aplicarea acestei convenţii şi fiind subiect al paragrafelor b), c) şi d), deşeurile incluse în </w:t>
      </w:r>
      <w:r>
        <w:rPr>
          <w:rFonts w:ascii="Times New Roman" w:hAnsi="Times New Roman" w:cs="Times New Roman"/>
          <w:color w:val="008000"/>
          <w:sz w:val="28"/>
          <w:szCs w:val="28"/>
          <w:u w:val="single"/>
        </w:rPr>
        <w:t>anexa VIII</w:t>
      </w:r>
      <w:r>
        <w:rPr>
          <w:rFonts w:ascii="Times New Roman" w:hAnsi="Times New Roman" w:cs="Times New Roman"/>
          <w:sz w:val="28"/>
          <w:szCs w:val="28"/>
        </w:rPr>
        <w:t xml:space="preserve"> sunt caracterizate ca periculoase în baza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paragraful 1 a) din această convenţie, iar deşeurile incluse în </w:t>
      </w:r>
      <w:r>
        <w:rPr>
          <w:rFonts w:ascii="Times New Roman" w:hAnsi="Times New Roman" w:cs="Times New Roman"/>
          <w:color w:val="008000"/>
          <w:sz w:val="28"/>
          <w:szCs w:val="28"/>
          <w:u w:val="single"/>
        </w:rPr>
        <w:t>anexa IX</w:t>
      </w:r>
      <w:r>
        <w:rPr>
          <w:rFonts w:ascii="Times New Roman" w:hAnsi="Times New Roman" w:cs="Times New Roman"/>
          <w:sz w:val="28"/>
          <w:szCs w:val="28"/>
        </w:rPr>
        <w:t xml:space="preserve"> nu intră sub incidenţa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paragraful 1 a) din această convenţie.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Includerea unui deşeu în </w:t>
      </w:r>
      <w:r>
        <w:rPr>
          <w:rFonts w:ascii="Times New Roman" w:hAnsi="Times New Roman" w:cs="Times New Roman"/>
          <w:color w:val="008000"/>
          <w:sz w:val="28"/>
          <w:szCs w:val="28"/>
          <w:u w:val="single"/>
        </w:rPr>
        <w:t>anexa VIII</w:t>
      </w:r>
      <w:r>
        <w:rPr>
          <w:rFonts w:ascii="Times New Roman" w:hAnsi="Times New Roman" w:cs="Times New Roman"/>
          <w:sz w:val="28"/>
          <w:szCs w:val="28"/>
        </w:rPr>
        <w:t xml:space="preserve"> nu exclude, pentru un caz particular, utilizarea </w:t>
      </w:r>
      <w:r>
        <w:rPr>
          <w:rFonts w:ascii="Times New Roman" w:hAnsi="Times New Roman" w:cs="Times New Roman"/>
          <w:color w:val="008000"/>
          <w:sz w:val="28"/>
          <w:szCs w:val="28"/>
          <w:u w:val="single"/>
        </w:rPr>
        <w:t>anexei III</w:t>
      </w:r>
      <w:r>
        <w:rPr>
          <w:rFonts w:ascii="Times New Roman" w:hAnsi="Times New Roman" w:cs="Times New Roman"/>
          <w:sz w:val="28"/>
          <w:szCs w:val="28"/>
        </w:rPr>
        <w:t xml:space="preserve"> pentru a demonstra că un deşeu nu este periculos în baza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paragraful 1 a) din această convenţie.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Includerea unui deşeu în </w:t>
      </w:r>
      <w:r>
        <w:rPr>
          <w:rFonts w:ascii="Times New Roman" w:hAnsi="Times New Roman" w:cs="Times New Roman"/>
          <w:color w:val="008000"/>
          <w:sz w:val="28"/>
          <w:szCs w:val="28"/>
          <w:u w:val="single"/>
        </w:rPr>
        <w:t>anexa IX</w:t>
      </w:r>
      <w:r>
        <w:rPr>
          <w:rFonts w:ascii="Times New Roman" w:hAnsi="Times New Roman" w:cs="Times New Roman"/>
          <w:sz w:val="28"/>
          <w:szCs w:val="28"/>
        </w:rPr>
        <w:t xml:space="preserve"> nu exclude, pentru un caz particular, caracterizarea acestui deşeu ca periculos în baza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paragraful 1 a) din această convenţie, dacă acest deşeu conţine materiale incluse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într-o cantitate care îl determină să manifeste o caracteristică prevăzută în </w:t>
      </w:r>
      <w:r>
        <w:rPr>
          <w:rFonts w:ascii="Times New Roman" w:hAnsi="Times New Roman" w:cs="Times New Roman"/>
          <w:color w:val="008000"/>
          <w:sz w:val="28"/>
          <w:szCs w:val="28"/>
          <w:u w:val="single"/>
        </w:rPr>
        <w:t>anexa III</w:t>
      </w: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color w:val="008000"/>
          <w:sz w:val="28"/>
          <w:szCs w:val="28"/>
          <w:u w:val="single"/>
        </w:rPr>
        <w:t>Anexele VIII</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IX</w:t>
      </w:r>
      <w:r>
        <w:rPr>
          <w:rFonts w:ascii="Times New Roman" w:hAnsi="Times New Roman" w:cs="Times New Roman"/>
          <w:sz w:val="28"/>
          <w:szCs w:val="28"/>
        </w:rPr>
        <w:t xml:space="preserve"> nu împiedică aplicarea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paragraful 1 a) din această convenţie, pentru caracterizarea deşeurilor."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introduc următoarele două anexe noi la convenţie: </w:t>
      </w:r>
      <w:r>
        <w:rPr>
          <w:rFonts w:ascii="Times New Roman" w:hAnsi="Times New Roman" w:cs="Times New Roman"/>
          <w:color w:val="008000"/>
          <w:sz w:val="28"/>
          <w:szCs w:val="28"/>
          <w:u w:val="single"/>
        </w:rPr>
        <w:t>anexa VIII</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anexa IX</w:t>
      </w: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 A</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Deşeurile incluse în această anexă sunt caracterizate ca periculoase în baza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paragraful 1 a) din această convenţie şi includerea lor în această anexă nu exclude utilizarea </w:t>
      </w:r>
      <w:r>
        <w:rPr>
          <w:rFonts w:ascii="Times New Roman" w:hAnsi="Times New Roman" w:cs="Times New Roman"/>
          <w:color w:val="008000"/>
          <w:sz w:val="28"/>
          <w:szCs w:val="28"/>
          <w:u w:val="single"/>
        </w:rPr>
        <w:t>anexei III</w:t>
      </w:r>
      <w:r>
        <w:rPr>
          <w:rFonts w:ascii="Times New Roman" w:hAnsi="Times New Roman" w:cs="Times New Roman"/>
          <w:sz w:val="28"/>
          <w:szCs w:val="28"/>
        </w:rPr>
        <w:t xml:space="preserve"> pentru a demonstra că un deşeu nu este periculos.</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Deşeuri metalice şi conţinând metale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1010 Deşeuri metalice şi deşeuri formate din aliaje ale oricăruia dintre următoarele metale: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antimoniu;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arsen;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beriliu;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cadmiu;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plumb;</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mercur;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seleniu;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telur;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taliu,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dar excluzând asemenea deşeuri specificate în lista B.</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1020 Deşeuri având drept constituenţi sau contaminanţi, excluzând însă deşeurile metalice în formă masivă, oricare dintre: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stibiu; compuşi ai stibiului;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beriliu; compuşi ai beriliului;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cadmiu; compuşi ai cadmiului;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plumb; compuşi ai plumbului;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seleniu; compuşi ai seleniului;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telur; compuşi ai telurului.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1030 Deşeuri având drept constituenţi sau contaminanţi oricare dintre: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arsen; compuşi ai arsenului;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mercur; compuşi ai mercurului;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taliu; compuşi ai taliului.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1040 Deşeuri având drept constituenţi oricare dintre: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carbonili metalici;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compuşi ai cromului hexavalent.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1050 Nămoluri de galvanizare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1060 Soluţii reziduale de la decaparea metalelor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1070 Reziduuri de levigare de la prelucrarea zincului, praf şi nămoluri, cum ar fi jarositul, hematitul etc.</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1080 Reziduuri de zinc deşeu care nu sunt incluse în lista B, conţinând plumb şi cadmiu în concentraţii suficiente pentru a conferi deşeului caracteristicile prevăzute în </w:t>
      </w:r>
      <w:r>
        <w:rPr>
          <w:rFonts w:ascii="Times New Roman" w:hAnsi="Times New Roman" w:cs="Times New Roman"/>
          <w:color w:val="008000"/>
          <w:sz w:val="28"/>
          <w:szCs w:val="28"/>
          <w:u w:val="single"/>
        </w:rPr>
        <w:t>anexa III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1090 Cenuşi de la incinerarea firelor de cupru izolate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1100 Praf şi reziduuri de la sistemele de curăţare a gazelor rezultate la topitoriile de cupru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1110 Soluţii electrolitice epuizate de la operaţiunile de electrorafinare sau obţinerea electrolitică a cuprului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1120 Nămoluri, exclusiv nămolul anodic, de la sistemele electrolitice de purificare în operaţiunile de electrorafinare sau de obţinere electrolitică a cuprului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1130 Soluţii epuizate de la decapare, conţinând cupru dizolvat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1140 Deşeuri de catalizatori de clorură cuprică şi cianură de cupru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1150 Cenuşi conţinând metale preţioase, de la incinerarea plăcilor de circuite imprimate, care nu sunt incluse în lista B*1)</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1160 Baterii uzate pe bază de plumb şi acid sulfuric, întregi sau sparte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1170 Baterii uzate nesortate, excluzând numai amestecurile de baterii incluse în lista B. Bateriile uzate nespecificate în lista B, conţinând constituenţii cuprinşi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în cantitate suficientă pentru a le considera periculoase.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1180 Deşeuri de montaje electrice şi electronice sau fragmente*2) conţinând componenţi cum ar fi acumulatori sau alte baterii incluse în lista A, întrerupătoare cu mercur, sticlă de la tuburile catodice, alt tip de sticlă activată şi condensatori cu PCB, sau impurificate cu constituenţi cuprinşi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(de exemplu: cadmiu, mercur, plumb, bifenili policloruraţi) într-o cantitate care să le confere oricare dintre caracteristicile conţinute în </w:t>
      </w:r>
      <w:r>
        <w:rPr>
          <w:rFonts w:ascii="Times New Roman" w:hAnsi="Times New Roman" w:cs="Times New Roman"/>
          <w:color w:val="008000"/>
          <w:sz w:val="28"/>
          <w:szCs w:val="28"/>
          <w:u w:val="single"/>
        </w:rPr>
        <w:t>anexa III</w:t>
      </w:r>
      <w:r>
        <w:rPr>
          <w:rFonts w:ascii="Times New Roman" w:hAnsi="Times New Roman" w:cs="Times New Roman"/>
          <w:sz w:val="28"/>
          <w:szCs w:val="28"/>
        </w:rPr>
        <w:t xml:space="preserve"> (a se observa categoria similară inclusă în lista B - B 1110)*3)</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 se observa că la categoria foarte asemănătoare inclusă în lista B (B 1160) nu sunt specificate excepţii.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Această categorie nu include fragmente de montaje de la producerea de energie electrică.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Nivelul concentraţiei de PCB este de 50 mg/kg sau mai mult.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Deşeuri conţinând în principal constituenţi anorganici, care pot conţine metale şi substanţe organice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2010 Deşeuri de sticlă de la tuburile catodice şi alte tipuri de sticlă activată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2020 Compuşi anorganici reziduali conţinând fluor, sub formă de lichide sau nămoluri, dar nu cei specificaţi în lista B</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2030 Catalizatori uzaţi, dar exclusiv cei specificaţi în lista B</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2040 Deşeuri de ghips rezultate din industria chimică, atunci când conţin constituenţi cuprinşi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în cantitate suficientă pentru a prezenta una dintre </w:t>
      </w:r>
      <w:r>
        <w:rPr>
          <w:rFonts w:ascii="Times New Roman" w:hAnsi="Times New Roman" w:cs="Times New Roman"/>
          <w:sz w:val="28"/>
          <w:szCs w:val="28"/>
        </w:rPr>
        <w:lastRenderedPageBreak/>
        <w:t xml:space="preserve">caracteristicile periculoase prevăzute în </w:t>
      </w:r>
      <w:r>
        <w:rPr>
          <w:rFonts w:ascii="Times New Roman" w:hAnsi="Times New Roman" w:cs="Times New Roman"/>
          <w:color w:val="008000"/>
          <w:sz w:val="28"/>
          <w:szCs w:val="28"/>
          <w:u w:val="single"/>
        </w:rPr>
        <w:t>anexa III</w:t>
      </w:r>
      <w:r>
        <w:rPr>
          <w:rFonts w:ascii="Times New Roman" w:hAnsi="Times New Roman" w:cs="Times New Roman"/>
          <w:sz w:val="28"/>
          <w:szCs w:val="28"/>
        </w:rPr>
        <w:t xml:space="preserve"> (a se observa categoria similară din lista B - B 2080)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2050 Deşeuri de azbest (praf şi fibre)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2060 Cenuşi zburătoare de la termocentralele pe bază de cărbune, conţinând substanţe cuprinse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în concentraţii suficiente pentru a prezenta caracteristicile prevăzute în </w:t>
      </w:r>
      <w:r>
        <w:rPr>
          <w:rFonts w:ascii="Times New Roman" w:hAnsi="Times New Roman" w:cs="Times New Roman"/>
          <w:color w:val="008000"/>
          <w:sz w:val="28"/>
          <w:szCs w:val="28"/>
          <w:u w:val="single"/>
        </w:rPr>
        <w:t>anexa III</w:t>
      </w:r>
      <w:r>
        <w:rPr>
          <w:rFonts w:ascii="Times New Roman" w:hAnsi="Times New Roman" w:cs="Times New Roman"/>
          <w:sz w:val="28"/>
          <w:szCs w:val="28"/>
        </w:rPr>
        <w:t xml:space="preserve"> (a se vedea categoria similară din lista B - B 2050)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A3. Deşeuri conţinând în principal constituenţi organici, care pot conţine metale şi substanţe anorganice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3010 Deşeuri de la obţinerea sau prelucrarea cocsului de petrol şi a bitumului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3020 Uleiuri minerale reziduale improprii utilizării scontate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3030 Deşeuri care conţin, sunt formate din sau sunt impurificate cu nămoluri conţinând compuşi antidetonanţi cu plumb</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3040 Agenţi termici reziduali (de la transferul termic)</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3050 Deşeuri de la obţinerea, formarea şi utilizarea răşinilor, latexului, plastifianţilor, cleiurilor/adezivilor, excluzând deşeurile specificate în lista B (a se observa categoria similară din lista B - B 4020)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3060 Deşeuri de nitroceluloză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3070 Fenoli reziduali, compuşi fenolici incluzând clorfenol, sub formă de lichide sau nămoluri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3080 Deşeuri de eteri, dar nu cei specificaţi în lista B</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3090 Deşeuri din tăbăcărie: pulberi răzătură şi nămoluri conţinând compuşi ai cromului hexavalent sau biocide (a se observa categoria similară din lista B - B 3100)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3100 Resturi şi alte deşeuri de piele sau de piele sintetică, care nu sunt adecvate producerii de articole din piele, conţinând compuşi ai cromului hexavalent sau biocide (a se observa categoria similară din lista B - B 3090)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3110 Deşeuri de blănărie care conţin compuşi de crom hexavalent sau biocide ori substanţe infecţioase (a se observa categoria similară din lista B - B 3110)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3120 Deşeuri de scamă - fracţiunea uşoară rezultată în urma destrămării fibrelor textile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3130 Deşeuri de compuşi organici ai fosforului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3140 Solvenţi organici nehalogenaţi reziduali, dar nu cei specificaţi în lista B</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3150 Solvenţi organici halogenaţi reziduali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3160 Reziduuri de distilare neapoase, halogenate sau nehalogenate, rezultate de la operaţiunile de recuperare a solvenţilor organici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3170 Reziduuri de la obţinerea hidrocarburilor alifatice halogenate (cum ar fi: clormetanul, dicloretanul, clorura de vinil, clorura de viniliden, clorura de alil şi epiclorhidrina)</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3180 Deşeuri, substanţe şi materiale conţinând, formate din sau impurificate cu bifenili policloruraţi (PCB), terfenili policloruraţi (PCT), naftaline policlorurate (PCN) sau bifenili polibromuraţi (PBB) sau orice alţi omologi polibromuraţi ai acestor compuşi, în concentraţii de 50 mg/kg sau mai mult*4)</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3190 Reziduuri de gudroane (excluzând cimenturile asfaltice) rezultate de la rafinare, distilare şi orice proces pirolitic de tratare a materialelor organice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Nivelul de concentraţie de 50 mg/kg este considerat a fi un nivel practic internaţional pentru toate deşeurile. Totuşi multe ţări au stabilit niveluri mai mici (de exemplu 20 mg/kg) pentru deşeuri specifice.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A4. Deşeuri care pot conţine fie constituenţi anorganici, fie constituenţi organici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4010 Deşeuri de la obţinerea, prepararea şi utilizarea produselor farmaceutice, dar nu cele specificate în lista B</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4020 Deşeuri spitaliceşti şi similare, adică deşeuri provenind din practica medicală, activităţile de caritate, stomatologie, medicină veterinară sau practici similare, precum şi deşeuri generate în spitale sau în alte instituţii în decursul investigaţiilor clinice sau al tratării pacienţilor ori al activităţilor de cercetare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4030 Deşeuri de la obţinerea, formarea şi utilizarea substanţelor biocide şi fitofarmaceutice, inclusiv deşeurile de pesticide şi erbicide în afara specificaţiilor, care sunt expirate*5) sau improprii utilizării scontate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4040 Deşeuri de la producerea, formarea şi utilizarea conservanţilor pentru lemn*6)</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4050 Deşeuri care conţin, sunt formate din sau sunt impurificate cu oricare dintre: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cianuri anorganice, exceptând reziduurile solide de metale preţioase care conţin urme de cianuri anorganice;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cianuri organice.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4060 Reziduuri uleiuri/apă, amestecuri hidrocarburi/apă, emulsii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4070 Deşeuri de la obţinerea, formarea şi utilizarea cernelurilor, coloranţilor, pigmenţilor, vopselelor, lacurilor, emailurilor, exclusiv cele specificate în lista B (a se vedea categoria similară din lista B - B 4010)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4080 Deşeuri de natură explozivă (dar nu cele specificate în lista B)</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4090 Soluţii reziduale acide sau alcaline, altele decât cele specificate la categoria corespunzătoare din lista B (a se vedea categoria similară din lista B - B 2120)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4100 Reziduuri de la echipamentele de control al poluării industriale, pentru epurarea gazelor industriale emise, dar exclusiv cele specificate în lista B</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4110 Deşeuri care conţin, sunt formate din sau sunt impurificate cu oricare dintre: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orice omolog de dibenzofuran policlorurat;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orice omolog de dibenzodioxină policlorurată.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4120 Deşeuri care conţin, sunt formate din sau sunt impurificate cu peroxizi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4130 Deşeuri de ambalaje şi containere conţinând substanţe cuprinse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în concentraţii suficiente pentru a prezenta caracteristicile periculoase prevăzute în </w:t>
      </w:r>
      <w:r>
        <w:rPr>
          <w:rFonts w:ascii="Times New Roman" w:hAnsi="Times New Roman" w:cs="Times New Roman"/>
          <w:color w:val="008000"/>
          <w:sz w:val="28"/>
          <w:szCs w:val="28"/>
          <w:u w:val="single"/>
        </w:rPr>
        <w:t>anexa III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4140 Deşeuri formate din sau conţinând substanţe chimice fără specificaţie sau expirate*7), corespunzând categoriilor din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şi prezentând caracteristicile din </w:t>
      </w:r>
      <w:r>
        <w:rPr>
          <w:rFonts w:ascii="Times New Roman" w:hAnsi="Times New Roman" w:cs="Times New Roman"/>
          <w:color w:val="008000"/>
          <w:sz w:val="28"/>
          <w:szCs w:val="28"/>
          <w:u w:val="single"/>
        </w:rPr>
        <w:t>anexa III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4150 Deşeuri de substanţe chimice rezultate din activităţile de cercetare-dezvoltare sau învăţământ, care nu sunt identificate şi/sau sunt noi şi ale căror efecte asupra omului şi/sau mediului înconjurător nu sunt cunoscute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4160 Cărbune activ uzat neinclus în lista B (a se vedea categoria similară din lista B - B 2060)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Expirate înseamnă nefolosite în perioada recomandată de producător.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Această categorie nu include lemnul tratat cu substanţe chimice conservante.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Expirate înseamnă nefolosite în perioada recomandată de producător.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 B</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Deşeurile incluse în această anexă nu vor fi deşeurile la care se referă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paragraful 1 a) din Convenţia de la Basel, dacă nu conţin substanţe cuprinse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într-o cantitate care să determine apariţia unei caracteristici prevăzute în </w:t>
      </w:r>
      <w:r>
        <w:rPr>
          <w:rFonts w:ascii="Times New Roman" w:hAnsi="Times New Roman" w:cs="Times New Roman"/>
          <w:color w:val="008000"/>
          <w:sz w:val="28"/>
          <w:szCs w:val="28"/>
          <w:u w:val="single"/>
        </w:rPr>
        <w:t>anexa III</w:t>
      </w: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Deşeuri metalice şi conţinând metale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1010 Deşeuri de metale şi aliaje metalice în formă metalică, nedispersabilă: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metale preţioase (aur, argint, grupul platinei, dar nu mercur);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fontă şi oţel;</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cupru;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nichel;</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aluminiu;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zinc;</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staniu;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wolfram;</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molibden;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tantal;</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fragmente de magneziu;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cobalt;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bismut;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titan;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zirconiu;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mangan;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germaniu;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vanadiu;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hafniu, indiu, niobiu, reniu, galiu;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toriu;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pământuri rare.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1020 Fragmente curate, necontaminate, inclusiv aliaje în formă fasonată (foi, plăci, bare, grinzi etc.):</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antimoniu;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beriliu;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cadmiu;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plumb (dar exclusiv baterii acid plumb);</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seleniu;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fragmente de telur.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1030 Reziduuri conţinând metale refractare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1040 Deşeuri de ansambluri de instalaţii de generare a energiei electrice, necontaminate cu ulei lubrifiant, PCB sau PCT într-o măsură care să le facă periculoase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1050 Amestec de metale neferoase, resturi din fracţiunea grea, fără materiale cuprinse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în concentraţii suficiente pentru a le face să prezinte caracteristicile prevăzute în </w:t>
      </w:r>
      <w:r>
        <w:rPr>
          <w:rFonts w:ascii="Times New Roman" w:hAnsi="Times New Roman" w:cs="Times New Roman"/>
          <w:color w:val="008000"/>
          <w:sz w:val="28"/>
          <w:szCs w:val="28"/>
          <w:u w:val="single"/>
        </w:rPr>
        <w:t>anexa III</w:t>
      </w:r>
      <w:r>
        <w:rPr>
          <w:rFonts w:ascii="Times New Roman" w:hAnsi="Times New Roman" w:cs="Times New Roman"/>
          <w:sz w:val="28"/>
          <w:szCs w:val="28"/>
        </w:rPr>
        <w:t>*8)</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1060 Deşeuri de selen şi telur în formă metalică elementară, inclusiv pulbere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1070 Deşeuri de cupru şi aliaje de cupru în formă dispersabilă, dacă nu conţin componenţii cuprinşi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în concentraţii suficiente pentru a le face să prezinte caracteristicile prevăzute în </w:t>
      </w:r>
      <w:r>
        <w:rPr>
          <w:rFonts w:ascii="Times New Roman" w:hAnsi="Times New Roman" w:cs="Times New Roman"/>
          <w:color w:val="008000"/>
          <w:sz w:val="28"/>
          <w:szCs w:val="28"/>
          <w:u w:val="single"/>
        </w:rPr>
        <w:t>anexa III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1080 Cenuşi şi reziduuri de zinc, inclusiv aliaje de zinc, în formă dispersabilă, dacă nu conţin componenţii cuprinşi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în concentraţii suficiente pentru a le face să prezinte caracteristicile prevăzute în </w:t>
      </w:r>
      <w:r>
        <w:rPr>
          <w:rFonts w:ascii="Times New Roman" w:hAnsi="Times New Roman" w:cs="Times New Roman"/>
          <w:color w:val="008000"/>
          <w:sz w:val="28"/>
          <w:szCs w:val="28"/>
          <w:u w:val="single"/>
        </w:rPr>
        <w:t>anexa III</w:t>
      </w:r>
      <w:r>
        <w:rPr>
          <w:rFonts w:ascii="Times New Roman" w:hAnsi="Times New Roman" w:cs="Times New Roman"/>
          <w:sz w:val="28"/>
          <w:szCs w:val="28"/>
        </w:rPr>
        <w:t xml:space="preserve"> sau nu prezintă caracteristica periculoasă H4.3*9)</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1090 Deşeuri de baterii conform unei specificaţii, exclusiv cele făcute cu plumb, cadmiu sau mercur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1100 Deşeuri conţinând metale, rezultate de la obţinerea, topirea şi rafinarea metalelor: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aliaj dur de zinc;</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reziduuri conţinând zinc:</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reziduu superficial de la galvanizarea plăcilor de zinc (&gt;90% Zn);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reziduu de fund de la galvanizarea plăcilor de zinc (&gt;92% Zn);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reziduu de la turnarea zincului sub presiune (&gt;85% Zn);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reziduu de la galvanizarea la cald a plăcilor de zinc (în şarje) (&gt;92% Zn);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zguri conţinând zinc;</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zguri (sau tunder) conţinând aluminiu, exclusiv zgurile saline;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zgura de la prelucrarea cuprului pentru procesare ulterioară sau rafinare, fără arseniu, plumb sau cadmiu într-o măsură care să le facă să prezinte caracteristicile periculoase prevăzute în </w:t>
      </w:r>
      <w:r>
        <w:rPr>
          <w:rFonts w:ascii="Times New Roman" w:hAnsi="Times New Roman" w:cs="Times New Roman"/>
          <w:color w:val="008000"/>
          <w:sz w:val="28"/>
          <w:szCs w:val="28"/>
          <w:u w:val="single"/>
        </w:rPr>
        <w:t>anexa III</w:t>
      </w: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căptuşeli refractare, inclusiv creuzete, provenite de la topirea cuprului;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zguri de la prelucrarea metalelor preţioase pentru rafinare ulterioară;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zguri de staniu conţinând tantal, cu mai puţin de 0,5% staniu.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1110 Ansambluri electrice şi electronice: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ansambluri electrice constând numai din metale sau aliaje;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ansambluri electrice sau electronice ori resturi*10) (inclusiv plăci circuite imprimate), care nu conţin componenţi ca acumulatori sau baterii incluse în lista A, contacte cu mercur, sticlă de la tuburi catodice sau altă sticlă activată şi condensatori cu PCB sau nu sunt contaminate cu constituenţi cuprinşi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(de exemplu: cadmiu, mercur, plumb, bifenil policlorurat) ori de la care acestea au fost îndepărtate, într-o măsură în care nu mai posedă nici una dintre caracteristicile conţinute în </w:t>
      </w:r>
      <w:r>
        <w:rPr>
          <w:rFonts w:ascii="Times New Roman" w:hAnsi="Times New Roman" w:cs="Times New Roman"/>
          <w:color w:val="008000"/>
          <w:sz w:val="28"/>
          <w:szCs w:val="28"/>
          <w:u w:val="single"/>
        </w:rPr>
        <w:t>anexa III</w:t>
      </w:r>
      <w:r>
        <w:rPr>
          <w:rFonts w:ascii="Times New Roman" w:hAnsi="Times New Roman" w:cs="Times New Roman"/>
          <w:sz w:val="28"/>
          <w:szCs w:val="28"/>
        </w:rPr>
        <w:t xml:space="preserve"> (a se vedea categoriile similare incluse în lista A - A 1180);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ansambluri electrice şi electronice (inclusiv plăci cu circuite integrate, componente electronice şi fire) destinate pentru refolosire directă*11) şi nu pentru reciclare sau eliminare finală*12) .</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1120 Catalizatori epuizaţi, exclusiv lichide folosite drept catalizatori, conţinând unul dintre: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metalele tranziţionale, exclusiv deşeuri de catalizatori (catalizatori epuizaţi, catalizatori lichizi epuizaţi sau alţi catalizatori) incluse în lista A: scandiu, vanadiu, mangan, cobalt, cupru, ytriu, niobiu, hafniu, wolfram, titan, crom, fier, nichel, zinc, zirconiu, molibden, tantal, reniu;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lantanide (metale pământuri rare): lantan, praeseodymiu, samariu, gadoliniu, disprosiu, erbiu, yterbiu, ceriu, neodim, europiu, terbiu, holmiu, tuliu, luteţiu.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1130 Catalizatori curaţi epuizaţi, cu metale preţioase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1140 Reziduuri cu metale preţioase în formă solidă, care conţin urme de cianuri anorganice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1150 Deşeuri de metale preţioase şi aliaje (aur, argint, grupul platinei, dar nu mercur) în formă dispersabilă nelichidă, cu ambalaj şi etichete adecvate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1160 Cenuşi cu metale preţioase de la incinerarea plăcilor cu circuite integrate (a se vedea categoriile similare incluse în lista A - A 1150)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1170 Cenuşi cu metale preţioase de la incinerarea filmelor foto</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1180 Deşeuri de filme fotografice conţinând halogenuri de argint şi argint metalic</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1190 Deşeuri de hârtie fotografică conţinând halogenuri de argint şi argint metalic</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1200 Zgură granulată de la fabricarea fontei şi oţelului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1210 Zgură de la fabricarea fontei şi oţelului, inclusiv zguri ca sursă de TiO2 şi vanadiu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1220 Zgură de la producţia zincului, stabilizată chimic, cu un conţinut ridicat de fier (peste 20%) şi prelucrată în conformitate cu specificaţiile industriale (de exemplu, DIN 4301), în special pentru construcţii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1230 Tunder de la fabricarea fontei şi oţelului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1240 Tunder de oxid de cupru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Chiar dacă nivelul contaminării cu materiale cuprinse în </w:t>
      </w:r>
      <w:r>
        <w:rPr>
          <w:rFonts w:ascii="Times New Roman" w:hAnsi="Times New Roman" w:cs="Times New Roman"/>
          <w:color w:val="008000"/>
          <w:sz w:val="28"/>
          <w:szCs w:val="28"/>
          <w:u w:val="single"/>
        </w:rPr>
        <w:t>anexa I</w:t>
      </w:r>
      <w:r>
        <w:rPr>
          <w:rFonts w:ascii="Times New Roman" w:hAnsi="Times New Roman" w:cs="Times New Roman"/>
          <w:sz w:val="28"/>
          <w:szCs w:val="28"/>
        </w:rPr>
        <w:t xml:space="preserve"> existent iniţial este scăzut, procesarea subsecventă, inclusiv reciclarea, poate conduce la o concentrare a materialelor cuprinse în </w:t>
      </w:r>
      <w:r>
        <w:rPr>
          <w:rFonts w:ascii="Times New Roman" w:hAnsi="Times New Roman" w:cs="Times New Roman"/>
          <w:color w:val="008000"/>
          <w:sz w:val="28"/>
          <w:szCs w:val="28"/>
          <w:u w:val="single"/>
        </w:rPr>
        <w:t>anexa I</w:t>
      </w:r>
      <w:r>
        <w:rPr>
          <w:rFonts w:ascii="Times New Roman" w:hAnsi="Times New Roman" w:cs="Times New Roman"/>
          <w:sz w:val="28"/>
          <w:szCs w:val="28"/>
        </w:rPr>
        <w:t>, în fracţiunile separate.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Statutul cenuşilor de zinc este revizuit în prezent şi există o recomandare a Conferinţei Naţiunilor Unite pentru Comerţ şi Dezvoltare (UNCTAD), conform căreia cenuşile de zinc nu ar fi produse periculoase.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Această categorie nu include fragmente de la generatoarele de energie electrică.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Reutilizarea poate include repararea, renovarea sau modernizarea, dar nu reasamblări majore.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În unele ţări aceste materiale sunt destinate utilizării directe şi nu sunt considerate deşeuri.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Deşeuri conţinând în principal constituenţi anorganici, care pot conţine metale şi materiale organice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2010 Deşeuri de la minerit, în formă nedispersabilă: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naturale de grafit;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ardezie, indiferent dacă sunt cioplite, tăiate sau altfel;</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mică;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leucit, nefelin şi nefelin sienit;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feldspat;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fluorină;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silice în formă solidă, exclusiv cele folosite în operaţiuni de turnătorie.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2020 Deşeuri de sticlă în formă nedispersabilă: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rebuturi şi alte deşeuri şi resturi de sticlă, exceptând sticla de la tuburile catodice şi alte tipuri de sticlă activată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2030 Deşeuri de ceramică în formă nedispersabilă: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şi resturi ceramico-metalice (materiale compozite conţinând metale şi ceramică);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fibre pe bază de ceramică, care nu sunt specificate sau incluse în altă categorie.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2040 Alte deşeuri conţinând în principal constituenţi anorganici: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sulfat de calciu parţial rafinat, rezultat de la desulfurarea gazelor (FGD);</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plăci din fibră ghipsată sau plăci de ghips, provenind de la demolarea construcţiilor;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zgură de la obţinerea cuprului, stabilizată chimic, având un conţinut ridicat de fier (peste 20%) şi prelucrată în conformitate cu specificaţiile industriale (de exemplu: DIN 4301 şi DIN 8201) în principal pentru aplicaţiile din construcţii şi obţinerea materialelor abrazive;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sulf în formă solidă;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calcar de la obţinerea cianamidei de calciu (având un pH mai mic de 9);</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cloruri de sodiu, potasiu şi calciu;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carborund (carbură de siliciu);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beton sfărâmat;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resturi de sticlă conţinând litiu-tantal şi litiu-niobiu.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2050 Cenuşi zburătoare de la termocentralele pe bază de cărbune, care nu sunt incluse în lista A (a se vedea categoriile incluse în lista A - A 2060)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2060 Cărbune activ uzat rezultat de la tratarea apei potabile şi din procesele tehnologice din industria alimentară şi obţinerea vitaminelor (a se vedea categoriile incluse în lista A - A 4160)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2070 Nămol conţinând fluorură de calciu</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2080 Deşeuri de ghips provenind din procesele tehnologice din industria chimică, neincluse în lista A (a se vedea categoriile incluse în lista A - A 2040)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2090 Deşeuri de anozi parţial consumaţi de la obţinerea oţelului sau aluminiului, fabricaţi din cocs de petrol sau bitum şi curaţi în conformitate cu specificaţiile industriale (exclusiv anozii parţial consumaţi din industria clorosodică şi industria metalurgică)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2100 Deşeuri de hidraţi de aluminiu şi de alumină, precum şi reziduuri de la obţinerea aluminei, excluzând materialele utilizate în procesele de epurare a gazelor, floculare sau filtrare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2110 Reziduu de bauxită ("nămol roşu") (pH mediu până la 11,5)</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2120 Soluţii reziduale acide sau alcaline, cu un pH cuprins între 2 şi 11,5, care nu sunt corosive sau periculoase în alt mod (a se vedea categoriile incluse în lista A - A 4090)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Deşeuri conţinând în principal constituenţi organici, care pot conţine metale şi substanţe anorganice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3010 Deşeuri solide din plastic</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Următoarele materiale plastice sau amestecuri de materiale plastice, cu condiţia să nu fie amestecate cu alte deşeuri şi să fie fabricate cu specificaţie: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resturi de plastic din polimeri şi copolimeri nehalogenaţi, inclusiv, dar nu numai, următorii*13):</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etilenă;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stiren;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polipropilenă;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polietilentereftalat;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acrilonitril;</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butadienă;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poliacetali;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poliamide;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polibutilentereftalat;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policarbonaţi;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polieteri;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polisulfură de fenilen;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polimeri acrilici;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alcani C10 - C13 (plastifianţi);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poliuretan (care nu conţin clorofluorocarboni);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polisiloxani;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polimetacrilat de metil;</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alcool polivinilic;</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polivinil butiral;</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polivinil acetat;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răşini uzate întărite sau produşi de condensare, inclusiv următoarele: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răşini ureoformaldehidice;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răşini fenol-formaldehidă;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răşini melamină-formaldehidă;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răşini epoxi;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răşini alchidice;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poliamide.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Următoarele deşeuri de polimeri fluoruraţi*14):</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perfluoretilenă/propilenă (FEP);</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perfluoralcoxi alcani (PFA);</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perfluoralcoxi alcani (MFA)</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polifluorură de vinil (PVF);</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polifluorură de viniliden (PVDF).</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3020 Deşeuri de hârtie, carton şi produse din hârtie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Următoarele materiale, cu condiţia să nu fie amestecate cu deşeuri periculoase: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deşeuri şi resturi de hârtie sau carton din: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hârtie sau carton nealbite ori hârtie sau carton ondulate;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 tip de hârtie sau carton, fabricat în principal din celuloză înălbită, necolorată în masă;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hârtie sau carton fabricat în principal din pastă mecanică (de exemplu: ziare, reviste şi materiale tipărite similare);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altele, inclusiv, dar nu limitate la: 1) carton dur (bachelitat); 2) resturi nesortate.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3030 Deşeuri textile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Următoarele materiale, cu condiţia să nu fie amestecate cu alte deşeuri şi să fie fabricate cu specificaţie: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mătase (inclusiv gogoşi de mătase necorespunzătoare pentru depănarea în sculuri, deşeuri de fire textile şi material fibros garnetat):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necardate sau nepieptănate;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altele;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lână ori de păr animal fin sau aspru, inclusiv deşeuri de fire textile, dar exclusiv material fibros garnetat: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resturi de la pieptănatul lânii sau al părului animal fin;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deşeuri de lână sau de păr animal fin;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păr aspru de animal;</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bumbac (inclusiv deşeuri de fire textile şi material fibros garnetat):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fire textile (inclusiv resturi de fire);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material fibros garnetat;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altele;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câlţi şi deşeuri de in;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câlţi şi deşeuri (inclusiv deşeuri de fire textile şi material fibros garnetat) de cânepă (Cannabis sativa L.);</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câlţi şi deşeuri (inclusiv deşeuri de fire textile şi material fibros garnetat) de iută şi alte fibre textile liberiene (exclusiv in, cânepă şi ramie);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câlţi şi deşeuri (inclusiv deşeuri de fire textile şi material fibros garnetat) de sisal şi alte fibre textile din genul Agave;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câlţi, resturi de la pieptănat şi deşeuri (inclusiv deşeuri de fire textile şi material fibros garnetat) de nucă de cocos;</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câlţi, resturi de la pieptănat şi deşeuri (inclusiv deşeuri de fire textile şi material fibros garnetat) de abaca (cânepă de Manila sau Musa textilis Nee);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câlţi, resturi de la pieptănat şi deşeuri (inclusiv deşeuri de fire textile şi material fibros garnetat) de ramie şi alte fibre textile vegetale care nu sunt specificate sau incluse în altă categorie;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(inclusiv resturi de la pieptănat, deşeuri de fire textile şi material fibros garnetat) de fibre chimice: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 fibre sintetice;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 fibre artificiale;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îmbrăcăminte uzată şi alte articole textile uzate;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cârpe, resturi de sfoară, frânghii şi parâme, precum şi articole uzate din sfoară, frânghii sau parâme din materiale textile: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sortate;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altele.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3040 Deşeuri de cauciuc</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Următoarele materiale, cu condiţia să nu fie amestecate cu alte deşeuri: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şi resturi de cauciuc dur (de exemplu, ebonită);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deşeuri de cauciuc (exclusiv cele specificate în altă categorie).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3050 Deşeuri de plută netratată şi deşeuri de lemn: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şi resturi de lemn, aglomerate sau nu în bare, brichete, pelete sau forme similare;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plută: măcinată, granulată sau plută brută.</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3060 Deşeuri provenind din industria agroalimentară, cu condiţia să nu fie infecţioase: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depuneri de la vin;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reziduuri şi produse secundare vegetale uscate şi sterilizate, sub formă de pelete sau nu, de natură a fi utilizate pentru hrana animalelor, care nu sunt specificate sau incluse în altă categorie;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degras: reziduuri rezultate de la tratarea substanţelor grase sau a cerurilor animale ori vegetale;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oase şi coarne, neprelucrate, degresate, pregătite simplu (dar nu într-o anumită formă), tratate cu acid sau degelificate;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peşte;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coji, păstăi şi alte deşeuri de cacao;</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deşeuri din industria agroalimentară, exclusiv produsele secundare care îndeplinesc cerinţele şi standardele naţionale şi internaţionale pentru consum uman sau animal.</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3070 Următoarele deşeuri: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păr uman;</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deşeuri de paie;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micelii de fungi inactivi de la obţinerea penicilinei, folosite ca hrană pentru animale.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3080 Tăieturi şi resturi de cauciuc</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3090 Resturi şi alte deşeuri de piele sau de piele sintetică, care nu sunt adecvate producerii de articole din piele, excluzând nămolurile de tăbăcărie, care nu conţin compuşi ai cromului hexavalent şi biocide (a se observa categoria similară inclusă în lista A - A 3100)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3100 Pulbere şi răzătură de piele, nămoluri de la prelucrarea pielii care nu conţin crom hexavalent sau biocide (a se vedea categoriile incluse în lista A - A 3090)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3110 Deşeuri din tăbăcărie care nu conţin compuşi ai cromului hexavalent, biocide sau substanţe infecţioase (a se observa categoria similară inclusă în lista A - A 3110)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3120 Deşeuri ce conţin coloranţi alimentari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3130 Polimeri eterici şi monomeri eterici nepericuloşi, incapabili de a forma peroxizi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3140 Anvelope uzate, exclusiv cele destinate operaţiunilor prevăzute în </w:t>
      </w:r>
      <w:r>
        <w:rPr>
          <w:rFonts w:ascii="Times New Roman" w:hAnsi="Times New Roman" w:cs="Times New Roman"/>
          <w:color w:val="008000"/>
          <w:sz w:val="28"/>
          <w:szCs w:val="28"/>
          <w:u w:val="single"/>
        </w:rPr>
        <w:t>anexa IV</w:t>
      </w:r>
      <w:r>
        <w:rPr>
          <w:rFonts w:ascii="Times New Roman" w:hAnsi="Times New Roman" w:cs="Times New Roman"/>
          <w:sz w:val="28"/>
          <w:szCs w:val="28"/>
        </w:rPr>
        <w:t xml:space="preserve"> secţiunea A.</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Se înţelege de la sine că aceste resturi trebuie să fie complet polimerizate.</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Deşeurile postconsum sunt excluse din această categorie. Deşeurile nu trebuie amestecate. Trebuie luate în considerare problemele care pot să apară ca urmare a arderii în aer liber.</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B4. Deşeuri care pot conţine fie constituenţi anorganici, fie constituenţi organici</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4010 Deşeuri formate în principal din vopsele pe bază de apă/latex şi lacuri întărite, care nu conţin solvenţi organici, metale grele sau biocide în cantitate suficientă pentru a le considera periculoase (a se vedea categoriile incluse în lista A - A 4070)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4020 Deşeuri de la obţinerea, formarea şi utilizarea răşinilor, latexului, plastifianţilor, cleiurilor/adezivilor, neincluse în lista A, lipsite de solvenţi sau alţi impurificatori în măsura în care să nu prezinte caracteristicile prevăzute în </w:t>
      </w:r>
      <w:r>
        <w:rPr>
          <w:rFonts w:ascii="Times New Roman" w:hAnsi="Times New Roman" w:cs="Times New Roman"/>
          <w:color w:val="008000"/>
          <w:sz w:val="28"/>
          <w:szCs w:val="28"/>
          <w:u w:val="single"/>
        </w:rPr>
        <w:t>anexa III</w:t>
      </w:r>
      <w:r>
        <w:rPr>
          <w:rFonts w:ascii="Times New Roman" w:hAnsi="Times New Roman" w:cs="Times New Roman"/>
          <w:sz w:val="28"/>
          <w:szCs w:val="28"/>
        </w:rPr>
        <w:t>, de exemplu pe bază de apă sau cleiuri naturale pe bază de cazeină, amidon, dextrină, eteri de celuloză, alcooli polivinilici (a se observa categoria similară inclusă în lista A - A 3050)</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4030 Aparate fotografice de unică folosinţă, cu baterii care nu sunt incluse în lista A."</w:t>
      </w:r>
    </w:p>
    <w:p w:rsidR="0062501F" w:rsidRDefault="0062501F" w:rsidP="0062501F">
      <w:pPr>
        <w:autoSpaceDE w:val="0"/>
        <w:autoSpaceDN w:val="0"/>
        <w:adjustRightInd w:val="0"/>
        <w:spacing w:after="0" w:line="240" w:lineRule="auto"/>
        <w:rPr>
          <w:rFonts w:ascii="Times New Roman" w:hAnsi="Times New Roman" w:cs="Times New Roman"/>
          <w:sz w:val="28"/>
          <w:szCs w:val="28"/>
        </w:rPr>
      </w:pPr>
    </w:p>
    <w:p w:rsidR="0062501F" w:rsidRDefault="0062501F" w:rsidP="006250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D6809" w:rsidRDefault="0062501F">
      <w:bookmarkStart w:id="0" w:name="_GoBack"/>
      <w:bookmarkEnd w:id="0"/>
    </w:p>
    <w:sectPr w:rsidR="006D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EA"/>
    <w:rsid w:val="001E4A83"/>
    <w:rsid w:val="00613BEA"/>
    <w:rsid w:val="0062501F"/>
    <w:rsid w:val="00EC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5600</Words>
  <Characters>31923</Characters>
  <Application>Microsoft Office Word</Application>
  <DocSecurity>0</DocSecurity>
  <Lines>266</Lines>
  <Paragraphs>74</Paragraphs>
  <ScaleCrop>false</ScaleCrop>
  <Company/>
  <LinksUpToDate>false</LinksUpToDate>
  <CharactersWithSpaces>37449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Angheluta</dc:creator>
  <cp:keywords/>
  <dc:description/>
  <cp:lastModifiedBy>Anca Angheluta</cp:lastModifiedBy>
  <cp:revision>2</cp:revision>
  <dcterms:created xsi:type="dcterms:W3CDTF">2013-08-14T10:03:00Z</dcterms:created>
  <dcterms:modified xsi:type="dcterms:W3CDTF">2013-08-14T10:04:00Z</dcterms:modified>
</cp:coreProperties>
</file>